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F36AB">
      <w:pPr>
        <w:pStyle w:val="2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4pt;width:17.95pt;height:17.55pt;z-index:251657216;mso-wrap-distance-left:0;mso-wrap-distance-top:0;mso-wrap-distance-right:0;mso-wrap-distance-bottom:0;mso-position-horizontal:absolute;mso-position-horizontal-relative:page;mso-position-vertical:absolute;mso-position-vertical-relative:page" stroked="f">
            <v:fill opacity="0" color2="black"/>
            <v:textbox inset="0,0,0,0">
              <w:txbxContent>
                <w:p w:rsidR="00000000" w:rsidRDefault="006F36AB">
                  <w:pPr>
                    <w:pStyle w:val="a1"/>
                  </w:pPr>
                </w:p>
              </w:txbxContent>
            </v:textbox>
            <w10:wrap anchorx="margin" anchory="margin"/>
          </v:shape>
        </w:pict>
      </w:r>
      <w:r>
        <w:rPr>
          <w:rFonts w:ascii="Times New Roman" w:eastAsia="Graphik RBC LC" w:hAnsi="Times New Roman" w:cs="Times New Roman"/>
          <w:b w:val="0"/>
          <w:bCs w:val="0"/>
          <w:color w:val="1C1C1C"/>
          <w:sz w:val="28"/>
          <w:szCs w:val="28"/>
          <w:bdr w:val="none" w:sz="0" w:space="0" w:color="000000"/>
        </w:rPr>
        <w:t xml:space="preserve"> </w:t>
      </w:r>
      <w:r>
        <w:rPr>
          <w:rFonts w:ascii="Times New Roman" w:eastAsia="Graphik RBC LC" w:hAnsi="Times New Roman" w:cs="Times New Roman"/>
          <w:b w:val="0"/>
          <w:bCs w:val="0"/>
          <w:color w:val="1C1C1C"/>
          <w:sz w:val="28"/>
          <w:szCs w:val="28"/>
          <w:bdr w:val="none" w:sz="0" w:space="0" w:color="000000"/>
        </w:rPr>
        <w:t xml:space="preserve">Международный день отказа от курения </w:t>
      </w:r>
    </w:p>
    <w:p w:rsidR="00000000" w:rsidRDefault="006F36AB">
      <w:pPr>
        <w:pStyle w:val="a1"/>
        <w:spacing w:before="200" w:after="120"/>
      </w:pPr>
    </w:p>
    <w:p w:rsidR="00000000" w:rsidRDefault="006F36AB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50" w:line="384" w:lineRule="auto"/>
        <w:ind w:firstLine="567"/>
        <w:jc w:val="both"/>
      </w:pPr>
      <w:r>
        <w:rPr>
          <w:rFonts w:eastAsia="Graphik RBC LC"/>
          <w:color w:val="1C1C1C"/>
          <w:sz w:val="28"/>
          <w:szCs w:val="28"/>
          <w:bdr w:val="none" w:sz="0" w:space="0" w:color="000000"/>
          <w:lang w:val="ru-RU"/>
        </w:rPr>
        <w:t xml:space="preserve">Международный день отказа от курения </w:t>
      </w:r>
      <w:r>
        <w:rPr>
          <w:color w:val="335875"/>
          <w:sz w:val="28"/>
          <w:szCs w:val="28"/>
        </w:rPr>
        <w:t xml:space="preserve"> </w:t>
      </w:r>
      <w:r>
        <w:rPr>
          <w:sz w:val="28"/>
          <w:szCs w:val="28"/>
        </w:rPr>
        <w:t>приходится на каждый третий четверг ноября,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 xml:space="preserve"> этом году Международный день отказа от курения приходится на </w:t>
      </w:r>
      <w:r>
        <w:rPr>
          <w:rStyle w:val="a9"/>
          <w:sz w:val="28"/>
          <w:szCs w:val="28"/>
          <w:lang w:val="ru-RU"/>
        </w:rPr>
        <w:t>21 ноября</w:t>
      </w:r>
      <w:r>
        <w:rPr>
          <w:sz w:val="28"/>
          <w:szCs w:val="28"/>
          <w:lang w:val="ru-RU"/>
        </w:rPr>
        <w:t xml:space="preserve">. </w:t>
      </w:r>
    </w:p>
    <w:p w:rsidR="00000000" w:rsidRDefault="006F36AB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50" w:line="384" w:lineRule="auto"/>
        <w:ind w:firstLine="567"/>
        <w:jc w:val="both"/>
      </w:pPr>
      <w:r>
        <w:rPr>
          <w:sz w:val="28"/>
          <w:szCs w:val="28"/>
        </w:rPr>
        <w:t xml:space="preserve">Согласно статистике, в России каждая 10-я женщина курит, </w:t>
      </w:r>
      <w:r>
        <w:rPr>
          <w:sz w:val="28"/>
          <w:szCs w:val="28"/>
        </w:rPr>
        <w:t>а среди мужчин 50-60% заядлые курильщики, в некоторых социальных категориях эта цифра достигает 95%. Согласно данным ВОЗ курение является причиной 85% смертельных исходов от рака легких, бронхов, трахеи, 16% смертей от ишемической болезни сердца, 26% смерт</w:t>
      </w:r>
      <w:r>
        <w:rPr>
          <w:sz w:val="28"/>
          <w:szCs w:val="28"/>
        </w:rPr>
        <w:t>ей от туберкулеза, 24% инфекций нижних дыхательных путей.</w:t>
      </w:r>
    </w:p>
    <w:p w:rsidR="00000000" w:rsidRDefault="006F36AB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50" w:line="384" w:lineRule="auto"/>
        <w:ind w:firstLine="680"/>
        <w:jc w:val="both"/>
      </w:pPr>
      <w:r>
        <w:rPr>
          <w:sz w:val="28"/>
          <w:szCs w:val="28"/>
        </w:rPr>
        <w:t>Суть международного дня отказа от курения заключается в попытке снизить распространенность этой пагубной привычки, а также привлечь к борьбе с курением представителей различных организаций, социальн</w:t>
      </w:r>
      <w:r>
        <w:rPr>
          <w:sz w:val="28"/>
          <w:szCs w:val="28"/>
        </w:rPr>
        <w:t>ых слоев, врачей различных специальностей. Также этот день призван повысить осведомленность граждан о вреде курения. Негативное влияние курения очевидно и большинство россиян считают его вредной привычкой. Однако способны бороться с никотиновой зависимость</w:t>
      </w:r>
      <w:r>
        <w:rPr>
          <w:sz w:val="28"/>
          <w:szCs w:val="28"/>
        </w:rPr>
        <w:t>ю лишь немногие.</w:t>
      </w:r>
    </w:p>
    <w:p w:rsidR="00000000" w:rsidRDefault="006F36AB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50" w:line="384" w:lineRule="auto"/>
        <w:ind w:firstLine="680"/>
        <w:jc w:val="both"/>
      </w:pPr>
      <w:r>
        <w:rPr>
          <w:sz w:val="28"/>
          <w:szCs w:val="28"/>
        </w:rPr>
        <w:t xml:space="preserve">Табачный дым содержит более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250 вредных </w:t>
      </w:r>
      <w:r>
        <w:rPr>
          <w:sz w:val="28"/>
          <w:szCs w:val="28"/>
          <w:lang w:val="ru-RU"/>
        </w:rPr>
        <w:t xml:space="preserve">веществ </w:t>
      </w:r>
      <w:r>
        <w:rPr>
          <w:sz w:val="28"/>
          <w:szCs w:val="28"/>
        </w:rPr>
        <w:t>и более 70 доказанных канцерогенов. Среди них такие убийцы и канцерогены, как монооксид углерода (угарный газ), никотин, цианистый водород, акролеин, диоксид азота, табачные N-нитрозамины, п</w:t>
      </w:r>
      <w:r>
        <w:rPr>
          <w:sz w:val="28"/>
          <w:szCs w:val="28"/>
        </w:rPr>
        <w:t xml:space="preserve">иридин, квинолин и другие яды. Еще в 1964 году американскими учеными в табаке был обнаружен радиоактивный изотоп полоний-210. </w:t>
      </w:r>
    </w:p>
    <w:p w:rsidR="00000000" w:rsidRDefault="006F36AB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50" w:line="384" w:lineRule="auto"/>
        <w:ind w:firstLine="680"/>
        <w:jc w:val="both"/>
      </w:pPr>
      <w:r>
        <w:rPr>
          <w:sz w:val="28"/>
          <w:szCs w:val="28"/>
        </w:rPr>
        <w:t>В результате принятия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России Ф</w:t>
      </w:r>
      <w:r>
        <w:rPr>
          <w:sz w:val="28"/>
          <w:szCs w:val="28"/>
        </w:rPr>
        <w:t xml:space="preserve">едерального закона 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б охране здоровья граждан от воздействия табачного дыма и последствий потребл</w:t>
      </w:r>
      <w:r>
        <w:rPr>
          <w:sz w:val="28"/>
          <w:szCs w:val="28"/>
        </w:rPr>
        <w:t xml:space="preserve">ения табака, вступившего в силу 1 июня 2013 года, было запрещено курение на </w:t>
      </w:r>
      <w:r>
        <w:rPr>
          <w:sz w:val="28"/>
          <w:szCs w:val="28"/>
        </w:rPr>
        <w:lastRenderedPageBreak/>
        <w:t>стадионах, школах, вузах, больницах, кафе, ресторанах, магазинах, лифтах, самолетах, аэропортах, запрещены реклама и стимулирование продаж табака. В настоящее время Минздрав РФ раз</w:t>
      </w:r>
      <w:r>
        <w:rPr>
          <w:sz w:val="28"/>
          <w:szCs w:val="28"/>
        </w:rPr>
        <w:t>работал проект антитабачной концепции осуществления государственной политики противодействия потреблению табака. Эта концепция предполагает повышение цен на сигареты и другие табачные изделия, а также полный запрет курения в следующих общественных местах:</w:t>
      </w:r>
      <w:r>
        <w:pict>
          <v:shape id="_x0000_s1027" type="#_x0000_t202" style="position:absolute;left:0;text-align:left;margin-left:-222.45pt;margin-top:0;width:1.1pt;height:241.45pt;z-index:251658240;mso-wrap-distance-left:0;mso-wrap-distance-top:0;mso-wrap-distance-right:0;mso-wrap-distance-bottom:0;mso-position-horizontal:absolute;mso-position-horizontal-relative:text;mso-position-vertical:bottom;mso-position-vertical-relative:text" stroked="f">
            <v:fill opacity="0" color2="black"/>
            <v:textbox inset="0,0,0,0">
              <w:txbxContent>
                <w:p w:rsidR="00000000" w:rsidRDefault="006F36AB">
                  <w:pPr>
                    <w:pStyle w:val="a1"/>
                  </w:pPr>
                </w:p>
              </w:txbxContent>
            </v:textbox>
          </v:shape>
        </w:pict>
      </w:r>
    </w:p>
    <w:p w:rsidR="00000000" w:rsidRDefault="006F36AB">
      <w:pPr>
        <w:pStyle w:val="a1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450" w:line="384" w:lineRule="auto"/>
        <w:jc w:val="left"/>
      </w:pPr>
      <w:r>
        <w:rPr>
          <w:sz w:val="28"/>
          <w:szCs w:val="28"/>
        </w:rPr>
        <w:t>на общей площади коммунальных квартир;</w:t>
      </w:r>
    </w:p>
    <w:p w:rsidR="00000000" w:rsidRDefault="006F36AB">
      <w:pPr>
        <w:pStyle w:val="a1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375" w:line="384" w:lineRule="auto"/>
        <w:jc w:val="left"/>
      </w:pPr>
      <w:r>
        <w:rPr>
          <w:sz w:val="28"/>
          <w:szCs w:val="28"/>
        </w:rPr>
        <w:t>на остановках общественного транспорта и на расстоянии 3 м от них;</w:t>
      </w:r>
    </w:p>
    <w:p w:rsidR="00000000" w:rsidRDefault="006F36AB">
      <w:pPr>
        <w:pStyle w:val="a1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375" w:line="384" w:lineRule="auto"/>
        <w:jc w:val="left"/>
      </w:pPr>
      <w:r>
        <w:rPr>
          <w:sz w:val="28"/>
          <w:szCs w:val="28"/>
        </w:rPr>
        <w:t>на расстоянии 3 м от входов в здания торговых центров;</w:t>
      </w:r>
    </w:p>
    <w:p w:rsidR="00000000" w:rsidRDefault="006F36AB">
      <w:pPr>
        <w:pStyle w:val="a1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375" w:line="384" w:lineRule="auto"/>
        <w:jc w:val="left"/>
      </w:pPr>
      <w:r>
        <w:rPr>
          <w:sz w:val="28"/>
          <w:szCs w:val="28"/>
        </w:rPr>
        <w:t>в подземных и надземных переходах;</w:t>
      </w:r>
    </w:p>
    <w:p w:rsidR="00000000" w:rsidRDefault="006F36AB">
      <w:pPr>
        <w:pStyle w:val="a1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450" w:line="384" w:lineRule="auto"/>
        <w:jc w:val="left"/>
      </w:pPr>
      <w:r>
        <w:rPr>
          <w:sz w:val="28"/>
          <w:szCs w:val="28"/>
        </w:rPr>
        <w:t>в личном транспорте в присутствии детей.</w:t>
      </w:r>
    </w:p>
    <w:p w:rsidR="00000000" w:rsidRDefault="006F36AB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50" w:line="384" w:lineRule="auto"/>
        <w:ind w:firstLine="680"/>
        <w:jc w:val="both"/>
      </w:pPr>
      <w:r>
        <w:rPr>
          <w:color w:val="000000"/>
          <w:sz w:val="28"/>
          <w:szCs w:val="28"/>
          <w:bdr w:val="none" w:sz="0" w:space="0" w:color="000000"/>
        </w:rPr>
        <w:t xml:space="preserve">Следует отметить, </w:t>
      </w:r>
      <w:r>
        <w:rPr>
          <w:color w:val="000000"/>
          <w:sz w:val="28"/>
          <w:szCs w:val="28"/>
          <w:bdr w:val="none" w:sz="0" w:space="0" w:color="000000"/>
        </w:rPr>
        <w:t>что при хорошей осведомленности о вреде табакокурения для здоровья, немногие горожане стремятся избавиться от никотиновой зависимости. Либо человек не осознает всей тяжести последствий употребления табака для своего здоровья, или считает, что болезнь его н</w:t>
      </w:r>
      <w:r>
        <w:rPr>
          <w:color w:val="000000"/>
          <w:sz w:val="28"/>
          <w:szCs w:val="28"/>
          <w:bdr w:val="none" w:sz="0" w:space="0" w:color="000000"/>
        </w:rPr>
        <w:t>е коснется, либо привычка курить настолько сильна, что нет возможности от нее отказаться.</w:t>
      </w:r>
    </w:p>
    <w:p w:rsidR="00000000" w:rsidRDefault="006F36AB">
      <w:pPr>
        <w:pStyle w:val="a1"/>
        <w:rPr>
          <w:bdr w:val="none" w:sz="0" w:space="0" w:color="000000"/>
        </w:rPr>
      </w:pPr>
    </w:p>
    <w:p w:rsidR="00000000" w:rsidRDefault="006F36AB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50" w:line="384" w:lineRule="auto"/>
        <w:ind w:firstLine="680"/>
        <w:jc w:val="both"/>
        <w:rPr>
          <w:sz w:val="28"/>
          <w:szCs w:val="28"/>
        </w:rPr>
      </w:pPr>
    </w:p>
    <w:p w:rsidR="00000000" w:rsidRDefault="006F36AB">
      <w:pPr>
        <w:pStyle w:val="a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50" w:line="384" w:lineRule="auto"/>
        <w:ind w:firstLine="680"/>
        <w:jc w:val="both"/>
        <w:rPr>
          <w:rFonts w:ascii="Roboto Slab" w:hAnsi="Roboto Slab"/>
          <w:color w:val="335875"/>
          <w:sz w:val="24"/>
        </w:rPr>
      </w:pPr>
    </w:p>
    <w:p w:rsidR="00000000" w:rsidRDefault="006F36AB">
      <w:pPr>
        <w:pStyle w:val="a1"/>
        <w:rPr>
          <w:rFonts w:ascii="Roboto Slab" w:hAnsi="Roboto Slab"/>
          <w:color w:val="335875"/>
          <w:sz w:val="24"/>
        </w:rPr>
      </w:pPr>
    </w:p>
    <w:p w:rsidR="00000000" w:rsidRDefault="006F36AB">
      <w:pPr>
        <w:pStyle w:val="a1"/>
      </w:pPr>
    </w:p>
    <w:p w:rsidR="00000000" w:rsidRDefault="006F36AB">
      <w:pPr>
        <w:sectPr w:rsidR="00000000">
          <w:pgSz w:w="11906" w:h="16838"/>
          <w:pgMar w:top="426" w:right="850" w:bottom="709" w:left="1701" w:header="720" w:footer="720" w:gutter="0"/>
          <w:cols w:space="720"/>
          <w:docGrid w:linePitch="360"/>
        </w:sectPr>
      </w:pPr>
    </w:p>
    <w:p w:rsidR="00000000" w:rsidRDefault="006F36AB">
      <w:pPr>
        <w:pStyle w:val="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360" w:lineRule="atLeast"/>
        <w:rPr>
          <w:rFonts w:ascii="Times New Roman" w:hAnsi="Times New Roman" w:cs="Times New Roman"/>
          <w:b w:val="0"/>
          <w:color w:val="1C1C1C"/>
          <w:sz w:val="32"/>
          <w:szCs w:val="32"/>
        </w:rPr>
      </w:pPr>
    </w:p>
    <w:p w:rsidR="00000000" w:rsidRDefault="006F36AB">
      <w:pPr>
        <w:pStyle w:val="ConsPlusNormal"/>
      </w:pPr>
    </w:p>
    <w:sectPr w:rsidR="00000000">
      <w:type w:val="continuous"/>
      <w:pgSz w:w="11906" w:h="16838"/>
      <w:pgMar w:top="426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Graphik RBC LC">
    <w:altName w:val="Arial"/>
    <w:charset w:val="CC"/>
    <w:family w:val="auto"/>
    <w:pitch w:val="default"/>
    <w:sig w:usb0="00000000" w:usb1="00000000" w:usb2="00000000" w:usb3="00000000" w:csb0="00000000" w:csb1="00000000"/>
  </w:font>
  <w:font w:name="Roboto Slab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F36AB"/>
    <w:rsid w:val="006F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NSimSun" w:hAnsi="Liberation Serif" w:cs="Mang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5">
    <w:name w:val="Основной текст Знак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4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21">
    <w:name w:val="Основной текст 2 Знак"/>
    <w:basedOn w:val="4"/>
    <w:rPr>
      <w:rFonts w:ascii="Calibri" w:eastAsia="Calibri" w:hAnsi="Calibri" w:cs="Calibri"/>
      <w:sz w:val="22"/>
      <w:szCs w:val="22"/>
      <w:lang w:eastAsia="zh-CN"/>
    </w:rPr>
  </w:style>
  <w:style w:type="character" w:customStyle="1" w:styleId="a7">
    <w:name w:val="Маркеры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character" w:styleId="a9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/>
    </w:rPr>
  </w:style>
  <w:style w:type="paragraph" w:styleId="aa">
    <w:name w:val="List"/>
    <w:basedOn w:val="a1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pPr>
      <w:suppressLineNumbers/>
    </w:pPr>
    <w:rPr>
      <w:rFonts w:cs="Times New Roman"/>
      <w:lang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rFonts w:cs="Times New Roma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eastAsia="Calibri" w:hAnsi="Calibri" w:cs="Calibri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2262</Characters>
  <Application>Microsoft Office Word</Application>
  <DocSecurity>0</DocSecurity>
  <Lines>18</Lines>
  <Paragraphs>5</Paragraphs>
  <ScaleCrop>false</ScaleCrop>
  <Company>Microsoft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</dc:creator>
  <cp:lastModifiedBy>User</cp:lastModifiedBy>
  <cp:revision>2</cp:revision>
  <cp:lastPrinted>2024-10-01T10:07:00Z</cp:lastPrinted>
  <dcterms:created xsi:type="dcterms:W3CDTF">2024-11-06T08:13:00Z</dcterms:created>
  <dcterms:modified xsi:type="dcterms:W3CDTF">2024-11-06T08:13:00Z</dcterms:modified>
</cp:coreProperties>
</file>